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5D8" w:rsidRDefault="006C05D8"/>
    <w:tbl>
      <w:tblPr>
        <w:tblStyle w:val="Grilledutableau"/>
        <w:tblW w:w="10207" w:type="dxa"/>
        <w:tblInd w:w="-856" w:type="dxa"/>
        <w:tblLook w:val="04A0" w:firstRow="1" w:lastRow="0" w:firstColumn="1" w:lastColumn="0" w:noHBand="0" w:noVBand="1"/>
      </w:tblPr>
      <w:tblGrid>
        <w:gridCol w:w="1696"/>
        <w:gridCol w:w="8511"/>
      </w:tblGrid>
      <w:tr w:rsidR="006C05D8" w:rsidTr="001C03D1">
        <w:tc>
          <w:tcPr>
            <w:tcW w:w="10207" w:type="dxa"/>
            <w:gridSpan w:val="2"/>
          </w:tcPr>
          <w:p w:rsidR="006C05D8" w:rsidRDefault="006C05D8">
            <w:r>
              <w:t>Rencontres du Conseil d’Administration de la Maison des familles de Verdun 2020-2021</w:t>
            </w:r>
          </w:p>
        </w:tc>
      </w:tr>
      <w:tr w:rsidR="006C05D8" w:rsidTr="001C03D1">
        <w:tc>
          <w:tcPr>
            <w:tcW w:w="1696" w:type="dxa"/>
          </w:tcPr>
          <w:p w:rsidR="006C05D8" w:rsidRDefault="006C05D8">
            <w:r>
              <w:t>Date</w:t>
            </w:r>
          </w:p>
        </w:tc>
        <w:tc>
          <w:tcPr>
            <w:tcW w:w="8511" w:type="dxa"/>
          </w:tcPr>
          <w:p w:rsidR="006C05D8" w:rsidRDefault="006C05D8">
            <w:r>
              <w:t xml:space="preserve">Principaux sujets </w:t>
            </w:r>
            <w:proofErr w:type="spellStart"/>
            <w:r>
              <w:t>taités</w:t>
            </w:r>
            <w:proofErr w:type="spellEnd"/>
          </w:p>
        </w:tc>
      </w:tr>
      <w:tr w:rsidR="006C05D8" w:rsidTr="001C03D1">
        <w:tc>
          <w:tcPr>
            <w:tcW w:w="1696" w:type="dxa"/>
          </w:tcPr>
          <w:p w:rsidR="006C05D8" w:rsidRDefault="006C05D8">
            <w:r>
              <w:t>9 avril 2020</w:t>
            </w:r>
          </w:p>
        </w:tc>
        <w:tc>
          <w:tcPr>
            <w:tcW w:w="8511" w:type="dxa"/>
          </w:tcPr>
          <w:p w:rsidR="006C05D8" w:rsidRDefault="006C05D8">
            <w:r>
              <w:t xml:space="preserve">Suivi des Ressources humaines (COVID-19), Gratuité des services, </w:t>
            </w:r>
            <w:r w:rsidR="00B61F25">
              <w:t>Finances et subventions</w:t>
            </w:r>
            <w:r w:rsidR="00B61F25">
              <w:t>,</w:t>
            </w:r>
          </w:p>
        </w:tc>
      </w:tr>
      <w:tr w:rsidR="006C05D8" w:rsidTr="001C03D1">
        <w:tc>
          <w:tcPr>
            <w:tcW w:w="1696" w:type="dxa"/>
          </w:tcPr>
          <w:p w:rsidR="006C05D8" w:rsidRDefault="006C05D8">
            <w:r>
              <w:t>30 avril 2020</w:t>
            </w:r>
          </w:p>
        </w:tc>
        <w:tc>
          <w:tcPr>
            <w:tcW w:w="8511" w:type="dxa"/>
          </w:tcPr>
          <w:p w:rsidR="00B82FC0" w:rsidRDefault="006C05D8" w:rsidP="00B41352">
            <w:r>
              <w:t>Suivi des Ressources humaines et formations</w:t>
            </w:r>
            <w:r w:rsidR="00B61F25">
              <w:t xml:space="preserve">, </w:t>
            </w:r>
            <w:r>
              <w:t>Changement aux assurances, Subventions spéciales et soutien local</w:t>
            </w:r>
            <w:r w:rsidR="00B61F25">
              <w:t xml:space="preserve">, </w:t>
            </w:r>
            <w:r w:rsidR="00B41352">
              <w:t xml:space="preserve">Amélioration </w:t>
            </w:r>
            <w:r w:rsidR="00B82FC0">
              <w:t xml:space="preserve">du </w:t>
            </w:r>
            <w:r w:rsidR="00B41352">
              <w:t>matériel</w:t>
            </w:r>
            <w:r w:rsidR="00B82FC0">
              <w:t xml:space="preserve"> informatique</w:t>
            </w:r>
            <w:r w:rsidR="00B61F25">
              <w:t xml:space="preserve">, </w:t>
            </w:r>
            <w:r w:rsidR="00B82FC0">
              <w:t>Matériel de protection</w:t>
            </w:r>
          </w:p>
        </w:tc>
      </w:tr>
      <w:tr w:rsidR="006C05D8" w:rsidTr="001C03D1">
        <w:tc>
          <w:tcPr>
            <w:tcW w:w="1696" w:type="dxa"/>
          </w:tcPr>
          <w:p w:rsidR="006C05D8" w:rsidRDefault="006C05D8">
            <w:r>
              <w:t>19 mai 2020</w:t>
            </w:r>
          </w:p>
        </w:tc>
        <w:tc>
          <w:tcPr>
            <w:tcW w:w="8511" w:type="dxa"/>
          </w:tcPr>
          <w:p w:rsidR="00B82FC0" w:rsidRDefault="006C05D8" w:rsidP="00B41352">
            <w:r>
              <w:t>États des résultats</w:t>
            </w:r>
            <w:r w:rsidR="00565405">
              <w:t xml:space="preserve">, </w:t>
            </w:r>
            <w:r>
              <w:t>Prêt Desjardins</w:t>
            </w:r>
            <w:r w:rsidR="00565405">
              <w:t xml:space="preserve">, </w:t>
            </w:r>
            <w:r>
              <w:t>Report de l’AGA</w:t>
            </w:r>
            <w:r w:rsidR="00565405">
              <w:t xml:space="preserve">, </w:t>
            </w:r>
            <w:r w:rsidR="00565405">
              <w:t>Finances et subventions</w:t>
            </w:r>
            <w:r w:rsidR="00B41352">
              <w:t xml:space="preserve">, </w:t>
            </w:r>
            <w:r w:rsidR="00B82FC0">
              <w:t>Document d’intégration au travail (post COVID)</w:t>
            </w:r>
          </w:p>
        </w:tc>
      </w:tr>
      <w:tr w:rsidR="006C05D8" w:rsidTr="001C03D1">
        <w:tc>
          <w:tcPr>
            <w:tcW w:w="1696" w:type="dxa"/>
          </w:tcPr>
          <w:p w:rsidR="006C05D8" w:rsidRDefault="006C05D8">
            <w:r>
              <w:t>11 août 2020</w:t>
            </w:r>
          </w:p>
        </w:tc>
        <w:tc>
          <w:tcPr>
            <w:tcW w:w="8511" w:type="dxa"/>
          </w:tcPr>
          <w:p w:rsidR="00E755F3" w:rsidRDefault="002E1A10" w:rsidP="00B41352">
            <w:r>
              <w:t>Adoptions des résolutions par courriel</w:t>
            </w:r>
            <w:r w:rsidR="008D6993">
              <w:t xml:space="preserve">, </w:t>
            </w:r>
            <w:r w:rsidR="00B82FC0">
              <w:t>révision du budget évaluation,</w:t>
            </w:r>
            <w:r w:rsidR="00B41352">
              <w:t xml:space="preserve"> </w:t>
            </w:r>
            <w:r w:rsidR="00B82FC0">
              <w:t>Mise à jour de logiciels, augmentation du budget informatique</w:t>
            </w:r>
            <w:r w:rsidR="00565405">
              <w:t xml:space="preserve">, </w:t>
            </w:r>
            <w:r w:rsidR="00565405">
              <w:t>Finances et subventions</w:t>
            </w:r>
            <w:r w:rsidR="00B41352">
              <w:t xml:space="preserve">, </w:t>
            </w:r>
            <w:r w:rsidR="00B82FC0">
              <w:t>Réaménagement de la salle de jeux + Système de ventilation médicale</w:t>
            </w:r>
            <w:r w:rsidR="00B41352">
              <w:t xml:space="preserve">, </w:t>
            </w:r>
            <w:r w:rsidR="00E755F3">
              <w:t>Trousses entrée scolaire et cartes cadeaux</w:t>
            </w:r>
          </w:p>
        </w:tc>
      </w:tr>
      <w:tr w:rsidR="006C05D8" w:rsidTr="001C03D1">
        <w:tc>
          <w:tcPr>
            <w:tcW w:w="1696" w:type="dxa"/>
          </w:tcPr>
          <w:p w:rsidR="006C05D8" w:rsidRDefault="00B82FC0">
            <w:r>
              <w:t>14 septembre et ajournement au 7 octobre</w:t>
            </w:r>
          </w:p>
        </w:tc>
        <w:tc>
          <w:tcPr>
            <w:tcW w:w="8511" w:type="dxa"/>
          </w:tcPr>
          <w:p w:rsidR="00B82FC0" w:rsidRDefault="00B82FC0" w:rsidP="00B41352">
            <w:r>
              <w:t>Préparation de l’AGA</w:t>
            </w:r>
            <w:r w:rsidR="00B41352">
              <w:t xml:space="preserve">, </w:t>
            </w:r>
            <w:r>
              <w:t>Signataires et demande de Crédit Visa</w:t>
            </w:r>
            <w:r w:rsidR="00B41352">
              <w:t xml:space="preserve">, </w:t>
            </w:r>
            <w:r>
              <w:t>Modification aux règlements généraux (ajout de membre honoraire)</w:t>
            </w:r>
            <w:r w:rsidR="00B41352">
              <w:t xml:space="preserve">, </w:t>
            </w:r>
            <w:r>
              <w:t>Représentation aux tables et regroupement</w:t>
            </w:r>
            <w:r w:rsidR="00B41352">
              <w:t xml:space="preserve">s, </w:t>
            </w:r>
            <w:r>
              <w:t>Finances et affectations</w:t>
            </w:r>
            <w:r w:rsidR="00B41352">
              <w:t xml:space="preserve">, </w:t>
            </w:r>
            <w:r>
              <w:t>Comité immeuble pour analyse des travaux (bilan de santé de l’immeuble)</w:t>
            </w:r>
            <w:r w:rsidR="00B41352">
              <w:t xml:space="preserve">, </w:t>
            </w:r>
            <w:r>
              <w:t>Stagiaires</w:t>
            </w:r>
          </w:p>
        </w:tc>
      </w:tr>
      <w:tr w:rsidR="006C05D8" w:rsidTr="001C03D1">
        <w:tc>
          <w:tcPr>
            <w:tcW w:w="1696" w:type="dxa"/>
          </w:tcPr>
          <w:p w:rsidR="006C05D8" w:rsidRDefault="00847868">
            <w:r>
              <w:t>25 octobre</w:t>
            </w:r>
          </w:p>
        </w:tc>
        <w:tc>
          <w:tcPr>
            <w:tcW w:w="8511" w:type="dxa"/>
          </w:tcPr>
          <w:p w:rsidR="00847868" w:rsidRDefault="00847868" w:rsidP="00565405">
            <w:r>
              <w:t>Adoptions des documents finaux pour l’AGA</w:t>
            </w:r>
            <w:r w:rsidR="00565405">
              <w:t xml:space="preserve">, </w:t>
            </w:r>
            <w:r>
              <w:t>AGA</w:t>
            </w:r>
            <w:r w:rsidR="00565405">
              <w:t xml:space="preserve">, </w:t>
            </w:r>
            <w:r>
              <w:t>Proposition de reconduction des mandats au CA</w:t>
            </w:r>
          </w:p>
        </w:tc>
      </w:tr>
      <w:tr w:rsidR="006C05D8" w:rsidTr="001C03D1">
        <w:tc>
          <w:tcPr>
            <w:tcW w:w="1696" w:type="dxa"/>
          </w:tcPr>
          <w:p w:rsidR="006C05D8" w:rsidRDefault="00847868">
            <w:r>
              <w:t>13 novembre</w:t>
            </w:r>
          </w:p>
        </w:tc>
        <w:tc>
          <w:tcPr>
            <w:tcW w:w="8511" w:type="dxa"/>
          </w:tcPr>
          <w:p w:rsidR="006C05D8" w:rsidRDefault="008C174F">
            <w:r>
              <w:t xml:space="preserve">Confirmation des </w:t>
            </w:r>
            <w:r w:rsidR="005007CC">
              <w:t>mandats des membres du CA</w:t>
            </w:r>
            <w:r w:rsidR="00B41352">
              <w:t>, R</w:t>
            </w:r>
            <w:r w:rsidR="005007CC">
              <w:t>éaménagement des espaces</w:t>
            </w:r>
            <w:r w:rsidR="00B41352">
              <w:t xml:space="preserve">, </w:t>
            </w:r>
            <w:r w:rsidR="005007CC">
              <w:t>Augmentation du soutien à la mission de 70000$ à 130000$</w:t>
            </w:r>
            <w:r w:rsidR="00B41352">
              <w:t>, É</w:t>
            </w:r>
            <w:r w:rsidR="005007CC">
              <w:t>quipement informatique pour le CA +formations au CA</w:t>
            </w:r>
            <w:r w:rsidR="00B41352">
              <w:t>, P</w:t>
            </w:r>
            <w:r w:rsidR="005007CC">
              <w:t>rocédure</w:t>
            </w:r>
            <w:r w:rsidR="00B41352">
              <w:t>s</w:t>
            </w:r>
            <w:r w:rsidR="005007CC">
              <w:t xml:space="preserve"> COVID pour les pères hébergés</w:t>
            </w:r>
            <w:r w:rsidR="00B41352">
              <w:t>,</w:t>
            </w:r>
            <w:r w:rsidR="005007CC">
              <w:t xml:space="preserve"> </w:t>
            </w:r>
            <w:r w:rsidR="00565405">
              <w:t>Finances et subventions</w:t>
            </w:r>
            <w:r w:rsidR="00B41352">
              <w:t>, O</w:t>
            </w:r>
            <w:r w:rsidR="00E755F3">
              <w:t xml:space="preserve">ptions en cas de </w:t>
            </w:r>
            <w:proofErr w:type="spellStart"/>
            <w:r w:rsidR="00E755F3">
              <w:t>reconfinement</w:t>
            </w:r>
            <w:proofErr w:type="spellEnd"/>
            <w:r w:rsidR="00E755F3">
              <w:t xml:space="preserve">, </w:t>
            </w:r>
            <w:r w:rsidR="00B41352">
              <w:t>A</w:t>
            </w:r>
            <w:r w:rsidR="00E755F3">
              <w:t>ctivités spéciales des fêtes et cartes cadeaux</w:t>
            </w:r>
          </w:p>
        </w:tc>
      </w:tr>
      <w:tr w:rsidR="006C05D8" w:rsidTr="001C03D1">
        <w:tc>
          <w:tcPr>
            <w:tcW w:w="1696" w:type="dxa"/>
          </w:tcPr>
          <w:p w:rsidR="006C05D8" w:rsidRDefault="00847868">
            <w:r>
              <w:t>28</w:t>
            </w:r>
            <w:r>
              <w:t xml:space="preserve"> </w:t>
            </w:r>
            <w:r>
              <w:t>décembre</w:t>
            </w:r>
          </w:p>
        </w:tc>
        <w:tc>
          <w:tcPr>
            <w:tcW w:w="8511" w:type="dxa"/>
          </w:tcPr>
          <w:p w:rsidR="006C05D8" w:rsidRDefault="00E755F3">
            <w:r>
              <w:t xml:space="preserve">Fermeture, paiement des vacances et congés sociaux ou mise à pied temporaire, </w:t>
            </w:r>
            <w:r w:rsidR="00B41352">
              <w:t>T</w:t>
            </w:r>
            <w:r>
              <w:t xml:space="preserve">ravaux de réaménagement, </w:t>
            </w:r>
            <w:r w:rsidR="00B41352">
              <w:t>A</w:t>
            </w:r>
            <w:r>
              <w:t xml:space="preserve">ssurances BFL (nouveau), </w:t>
            </w:r>
            <w:r w:rsidR="00565405">
              <w:t>Finances et subventions</w:t>
            </w:r>
          </w:p>
        </w:tc>
      </w:tr>
      <w:tr w:rsidR="006C05D8" w:rsidTr="001C03D1">
        <w:tc>
          <w:tcPr>
            <w:tcW w:w="1696" w:type="dxa"/>
          </w:tcPr>
          <w:p w:rsidR="006C05D8" w:rsidRDefault="00E755F3">
            <w:r>
              <w:t>11 janvier</w:t>
            </w:r>
          </w:p>
        </w:tc>
        <w:tc>
          <w:tcPr>
            <w:tcW w:w="8511" w:type="dxa"/>
          </w:tcPr>
          <w:p w:rsidR="006C05D8" w:rsidRDefault="00E755F3">
            <w:r>
              <w:t>Démission d’un membre su CA</w:t>
            </w:r>
            <w:r>
              <w:t>,</w:t>
            </w:r>
            <w:r>
              <w:t xml:space="preserve"> </w:t>
            </w:r>
            <w:r w:rsidR="00B41352">
              <w:t>R</w:t>
            </w:r>
            <w:r>
              <w:t>éorganisation des services aux membres,</w:t>
            </w:r>
            <w:r>
              <w:t xml:space="preserve"> </w:t>
            </w:r>
            <w:r w:rsidR="00565405">
              <w:t>Finances et subventions</w:t>
            </w:r>
            <w:r w:rsidR="00B41352">
              <w:t>, C</w:t>
            </w:r>
            <w:r>
              <w:t>onfirmation des augmentations salariales dues à la COVID-</w:t>
            </w:r>
            <w:proofErr w:type="gramStart"/>
            <w:r>
              <w:t>19 ,</w:t>
            </w:r>
            <w:proofErr w:type="gramEnd"/>
            <w:r>
              <w:t xml:space="preserve"> </w:t>
            </w:r>
            <w:r w:rsidR="00B41352">
              <w:t>R</w:t>
            </w:r>
            <w:r>
              <w:t>eprise du projet d’amélioration continue</w:t>
            </w:r>
            <w:r w:rsidR="00C253C5">
              <w:t xml:space="preserve"> et sondage de satisfaction des membres </w:t>
            </w:r>
            <w:r>
              <w:t xml:space="preserve">, </w:t>
            </w:r>
            <w:r w:rsidR="00B41352">
              <w:t>A</w:t>
            </w:r>
            <w:r>
              <w:t xml:space="preserve">utorisation de déplacement pendant le couvre-feu pour services </w:t>
            </w:r>
            <w:r w:rsidR="00B41352">
              <w:t>prioritaires</w:t>
            </w:r>
          </w:p>
        </w:tc>
      </w:tr>
      <w:tr w:rsidR="006C05D8" w:rsidTr="001C03D1">
        <w:tc>
          <w:tcPr>
            <w:tcW w:w="1696" w:type="dxa"/>
          </w:tcPr>
          <w:p w:rsidR="006C05D8" w:rsidRDefault="00E755F3">
            <w:r>
              <w:t>10 mars ajournement le 29 mars</w:t>
            </w:r>
          </w:p>
        </w:tc>
        <w:tc>
          <w:tcPr>
            <w:tcW w:w="8511" w:type="dxa"/>
          </w:tcPr>
          <w:p w:rsidR="006C05D8" w:rsidRDefault="00E755F3">
            <w:r>
              <w:t xml:space="preserve">Nouvelle membre au CA, </w:t>
            </w:r>
            <w:r w:rsidR="00B41352">
              <w:t>A</w:t>
            </w:r>
            <w:r w:rsidR="001C03D1">
              <w:t xml:space="preserve">utorisation des paiements en ligne, </w:t>
            </w:r>
            <w:r w:rsidR="00B41352">
              <w:t>D</w:t>
            </w:r>
            <w:r w:rsidR="001C03D1">
              <w:t xml:space="preserve">emande de crédit Visa, </w:t>
            </w:r>
            <w:r w:rsidR="00B41352">
              <w:t>P</w:t>
            </w:r>
            <w:r>
              <w:t>résentation du bilan financ</w:t>
            </w:r>
            <w:r w:rsidR="001C03D1">
              <w:t>ier</w:t>
            </w:r>
            <w:r>
              <w:t>,</w:t>
            </w:r>
            <w:r w:rsidR="001C03D1">
              <w:t xml:space="preserve"> 0</w:t>
            </w:r>
            <w:r w:rsidR="00C253C5">
              <w:t xml:space="preserve"> </w:t>
            </w:r>
            <w:r>
              <w:t>revenu autonome (gratuité)</w:t>
            </w:r>
            <w:r w:rsidR="00B41352">
              <w:t>, D</w:t>
            </w:r>
            <w:r>
              <w:t>épenses liées au soutien supplémentaire du MFA et subventions salariales</w:t>
            </w:r>
            <w:r w:rsidR="001C03D1">
              <w:t xml:space="preserve"> – </w:t>
            </w:r>
            <w:r w:rsidR="00B41352">
              <w:t>P</w:t>
            </w:r>
            <w:r w:rsidR="001C03D1">
              <w:t>résentation du comité d’évaluation</w:t>
            </w:r>
            <w:r w:rsidR="00C253C5">
              <w:t xml:space="preserve">, </w:t>
            </w:r>
            <w:r w:rsidR="00B41352">
              <w:t>R</w:t>
            </w:r>
            <w:r w:rsidR="00C253C5">
              <w:t>ésultat des sondages de satisfaction des membres</w:t>
            </w:r>
          </w:p>
        </w:tc>
      </w:tr>
      <w:tr w:rsidR="00B41352" w:rsidTr="001C03D1">
        <w:tc>
          <w:tcPr>
            <w:tcW w:w="1696" w:type="dxa"/>
          </w:tcPr>
          <w:p w:rsidR="00B41352" w:rsidRDefault="00B41352" w:rsidP="00B41352">
            <w:r>
              <w:t>TOTAL</w:t>
            </w:r>
          </w:p>
          <w:p w:rsidR="00B41352" w:rsidRDefault="00B41352" w:rsidP="00B41352">
            <w:r>
              <w:t>12 rencontres</w:t>
            </w:r>
          </w:p>
        </w:tc>
        <w:tc>
          <w:tcPr>
            <w:tcW w:w="8511" w:type="dxa"/>
          </w:tcPr>
          <w:p w:rsidR="00B41352" w:rsidRDefault="00B41352" w:rsidP="00B41352">
            <w:r>
              <w:t xml:space="preserve">Dont 2 ajournements et plus de 30 résolutions par </w:t>
            </w:r>
            <w:proofErr w:type="gramStart"/>
            <w:r>
              <w:t>courriel!!</w:t>
            </w:r>
            <w:proofErr w:type="gramEnd"/>
          </w:p>
        </w:tc>
      </w:tr>
      <w:tr w:rsidR="00B41352" w:rsidTr="001C03D1">
        <w:tc>
          <w:tcPr>
            <w:tcW w:w="10207" w:type="dxa"/>
            <w:gridSpan w:val="2"/>
            <w:shd w:val="clear" w:color="auto" w:fill="D9D9D9" w:themeFill="background1" w:themeFillShade="D9"/>
          </w:tcPr>
          <w:p w:rsidR="00B41352" w:rsidRDefault="00B41352" w:rsidP="00B41352">
            <w:r>
              <w:t>Rencontres du Conseil d’Administration de la Maison des familles de Verdun 202</w:t>
            </w:r>
            <w:r>
              <w:t>1</w:t>
            </w:r>
            <w:r>
              <w:t>-202</w:t>
            </w:r>
            <w:r>
              <w:t>2</w:t>
            </w:r>
          </w:p>
        </w:tc>
      </w:tr>
      <w:tr w:rsidR="00B41352" w:rsidTr="001C03D1">
        <w:tc>
          <w:tcPr>
            <w:tcW w:w="1696" w:type="dxa"/>
          </w:tcPr>
          <w:p w:rsidR="00B41352" w:rsidRDefault="00B41352" w:rsidP="00B41352">
            <w:bookmarkStart w:id="0" w:name="_GoBack"/>
            <w:bookmarkEnd w:id="0"/>
            <w:r>
              <w:t>2 juin</w:t>
            </w:r>
          </w:p>
        </w:tc>
        <w:tc>
          <w:tcPr>
            <w:tcW w:w="8511" w:type="dxa"/>
          </w:tcPr>
          <w:p w:rsidR="00B41352" w:rsidRDefault="00B41352" w:rsidP="00B41352">
            <w:r>
              <w:t>Finances et subventions, Reports de subventions et affectations, Adoptions de prévisions budgétaires, réserve COVID, Heures de la directions, Remboursement des dépenses, Sondage satisfaction au travail, Contrats de travail, Sondage auprès des partenaires, Entente SPVM, Confirmation des activités d’été</w:t>
            </w:r>
          </w:p>
        </w:tc>
      </w:tr>
      <w:tr w:rsidR="00B41352" w:rsidTr="001C03D1">
        <w:tc>
          <w:tcPr>
            <w:tcW w:w="1696" w:type="dxa"/>
          </w:tcPr>
          <w:p w:rsidR="00B41352" w:rsidRDefault="00B41352" w:rsidP="00B41352">
            <w:r>
              <w:t>29 juin</w:t>
            </w:r>
          </w:p>
        </w:tc>
        <w:tc>
          <w:tcPr>
            <w:tcW w:w="8511" w:type="dxa"/>
          </w:tcPr>
          <w:p w:rsidR="00B41352" w:rsidRDefault="00B41352" w:rsidP="00B41352">
            <w:r>
              <w:t xml:space="preserve">Adoption des États financiers 2020-2021 et révisions des prévisions budgétaire 2021-2022, </w:t>
            </w:r>
            <w:r>
              <w:t>Finances et subventions</w:t>
            </w:r>
            <w:r>
              <w:t>, Adoption du rapport d’activités 2020-2021, Calendrier des activités du 30</w:t>
            </w:r>
            <w:r w:rsidRPr="00C253C5">
              <w:rPr>
                <w:vertAlign w:val="superscript"/>
              </w:rPr>
              <w:t>ème</w:t>
            </w:r>
            <w:r>
              <w:rPr>
                <w:vertAlign w:val="superscript"/>
              </w:rPr>
              <w:t xml:space="preserve"> </w:t>
            </w:r>
            <w:r>
              <w:t>+ Activités spéciales et AGA au Quai 5160</w:t>
            </w:r>
          </w:p>
        </w:tc>
      </w:tr>
      <w:tr w:rsidR="00B41352" w:rsidTr="001C03D1">
        <w:tc>
          <w:tcPr>
            <w:tcW w:w="1696" w:type="dxa"/>
          </w:tcPr>
          <w:p w:rsidR="00B41352" w:rsidRDefault="00B41352" w:rsidP="00B41352">
            <w:r>
              <w:t>21 juillet</w:t>
            </w:r>
          </w:p>
        </w:tc>
        <w:tc>
          <w:tcPr>
            <w:tcW w:w="8511" w:type="dxa"/>
          </w:tcPr>
          <w:p w:rsidR="00B41352" w:rsidRDefault="00B41352" w:rsidP="00B41352">
            <w:r>
              <w:t xml:space="preserve">Premier CA en présence à la MFV! Finances, Augmentation salariale, Situation hébergement, </w:t>
            </w:r>
          </w:p>
        </w:tc>
      </w:tr>
      <w:tr w:rsidR="00B41352" w:rsidTr="001C03D1">
        <w:tc>
          <w:tcPr>
            <w:tcW w:w="1696" w:type="dxa"/>
          </w:tcPr>
          <w:p w:rsidR="00B41352" w:rsidRDefault="00B41352" w:rsidP="00B41352">
            <w:r>
              <w:t>24 août</w:t>
            </w:r>
          </w:p>
        </w:tc>
        <w:tc>
          <w:tcPr>
            <w:tcW w:w="8511" w:type="dxa"/>
          </w:tcPr>
          <w:p w:rsidR="00B41352" w:rsidRDefault="00B41352" w:rsidP="00B41352">
            <w:r>
              <w:t>Finances, déroulement de l’AGA (école de cirque), suivi situation hébergement</w:t>
            </w:r>
          </w:p>
        </w:tc>
      </w:tr>
      <w:tr w:rsidR="00B41352" w:rsidTr="001C03D1">
        <w:tc>
          <w:tcPr>
            <w:tcW w:w="1696" w:type="dxa"/>
          </w:tcPr>
          <w:p w:rsidR="00B41352" w:rsidRDefault="00B41352" w:rsidP="00B41352"/>
        </w:tc>
        <w:tc>
          <w:tcPr>
            <w:tcW w:w="8511" w:type="dxa"/>
          </w:tcPr>
          <w:p w:rsidR="00B41352" w:rsidRDefault="00B41352" w:rsidP="00B41352"/>
        </w:tc>
      </w:tr>
    </w:tbl>
    <w:p w:rsidR="006C05D8" w:rsidRDefault="006C05D8"/>
    <w:sectPr w:rsidR="006C05D8" w:rsidSect="001C03D1">
      <w:pgSz w:w="12240" w:h="15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8"/>
    <w:rsid w:val="00006038"/>
    <w:rsid w:val="001C03D1"/>
    <w:rsid w:val="002A05CD"/>
    <w:rsid w:val="002E1A10"/>
    <w:rsid w:val="004A0566"/>
    <w:rsid w:val="005007CC"/>
    <w:rsid w:val="00565405"/>
    <w:rsid w:val="005B2988"/>
    <w:rsid w:val="006C05D8"/>
    <w:rsid w:val="00847868"/>
    <w:rsid w:val="008C174F"/>
    <w:rsid w:val="008D6993"/>
    <w:rsid w:val="00A06086"/>
    <w:rsid w:val="00B41352"/>
    <w:rsid w:val="00B61F25"/>
    <w:rsid w:val="00B82FC0"/>
    <w:rsid w:val="00BA3583"/>
    <w:rsid w:val="00C253C5"/>
    <w:rsid w:val="00E14128"/>
    <w:rsid w:val="00E755F3"/>
    <w:rsid w:val="00EF17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07EB"/>
  <w15:chartTrackingRefBased/>
  <w15:docId w15:val="{8F968AF6-993F-4114-B9DD-7C205E4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0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00592">
      <w:bodyDiv w:val="1"/>
      <w:marLeft w:val="0"/>
      <w:marRight w:val="0"/>
      <w:marTop w:val="0"/>
      <w:marBottom w:val="0"/>
      <w:divBdr>
        <w:top w:val="none" w:sz="0" w:space="0" w:color="auto"/>
        <w:left w:val="none" w:sz="0" w:space="0" w:color="auto"/>
        <w:bottom w:val="none" w:sz="0" w:space="0" w:color="auto"/>
        <w:right w:val="none" w:sz="0" w:space="0" w:color="auto"/>
      </w:divBdr>
      <w:divsChild>
        <w:div w:id="1301695163">
          <w:marLeft w:val="0"/>
          <w:marRight w:val="0"/>
          <w:marTop w:val="0"/>
          <w:marBottom w:val="0"/>
          <w:divBdr>
            <w:top w:val="none" w:sz="0" w:space="0" w:color="auto"/>
            <w:left w:val="none" w:sz="0" w:space="0" w:color="auto"/>
            <w:bottom w:val="none" w:sz="0" w:space="0" w:color="auto"/>
            <w:right w:val="none" w:sz="0" w:space="0" w:color="auto"/>
          </w:divBdr>
        </w:div>
        <w:div w:id="1651252306">
          <w:marLeft w:val="0"/>
          <w:marRight w:val="0"/>
          <w:marTop w:val="0"/>
          <w:marBottom w:val="0"/>
          <w:divBdr>
            <w:top w:val="none" w:sz="0" w:space="0" w:color="auto"/>
            <w:left w:val="none" w:sz="0" w:space="0" w:color="auto"/>
            <w:bottom w:val="none" w:sz="0" w:space="0" w:color="auto"/>
            <w:right w:val="none" w:sz="0" w:space="0" w:color="auto"/>
          </w:divBdr>
        </w:div>
        <w:div w:id="11763407">
          <w:marLeft w:val="0"/>
          <w:marRight w:val="0"/>
          <w:marTop w:val="0"/>
          <w:marBottom w:val="0"/>
          <w:divBdr>
            <w:top w:val="none" w:sz="0" w:space="0" w:color="auto"/>
            <w:left w:val="none" w:sz="0" w:space="0" w:color="auto"/>
            <w:bottom w:val="none" w:sz="0" w:space="0" w:color="auto"/>
            <w:right w:val="none" w:sz="0" w:space="0" w:color="auto"/>
          </w:divBdr>
        </w:div>
        <w:div w:id="1264457321">
          <w:marLeft w:val="0"/>
          <w:marRight w:val="0"/>
          <w:marTop w:val="0"/>
          <w:marBottom w:val="0"/>
          <w:divBdr>
            <w:top w:val="none" w:sz="0" w:space="0" w:color="auto"/>
            <w:left w:val="none" w:sz="0" w:space="0" w:color="auto"/>
            <w:bottom w:val="none" w:sz="0" w:space="0" w:color="auto"/>
            <w:right w:val="none" w:sz="0" w:space="0" w:color="auto"/>
          </w:divBdr>
        </w:div>
        <w:div w:id="1332292367">
          <w:marLeft w:val="0"/>
          <w:marRight w:val="0"/>
          <w:marTop w:val="0"/>
          <w:marBottom w:val="0"/>
          <w:divBdr>
            <w:top w:val="none" w:sz="0" w:space="0" w:color="auto"/>
            <w:left w:val="none" w:sz="0" w:space="0" w:color="auto"/>
            <w:bottom w:val="none" w:sz="0" w:space="0" w:color="auto"/>
            <w:right w:val="none" w:sz="0" w:space="0" w:color="auto"/>
          </w:divBdr>
        </w:div>
        <w:div w:id="2011565151">
          <w:marLeft w:val="0"/>
          <w:marRight w:val="0"/>
          <w:marTop w:val="0"/>
          <w:marBottom w:val="0"/>
          <w:divBdr>
            <w:top w:val="none" w:sz="0" w:space="0" w:color="auto"/>
            <w:left w:val="none" w:sz="0" w:space="0" w:color="auto"/>
            <w:bottom w:val="none" w:sz="0" w:space="0" w:color="auto"/>
            <w:right w:val="none" w:sz="0" w:space="0" w:color="auto"/>
          </w:divBdr>
        </w:div>
        <w:div w:id="750546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1</Pages>
  <Words>517</Words>
  <Characters>2847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MFV_d</dc:creator>
  <cp:keywords/>
  <dc:description/>
  <cp:lastModifiedBy>MFV_d</cp:lastModifiedBy>
  <cp:revision>5</cp:revision>
  <dcterms:created xsi:type="dcterms:W3CDTF">2021-09-16T22:00:00Z</dcterms:created>
  <dcterms:modified xsi:type="dcterms:W3CDTF">2021-09-18T00:50:00Z</dcterms:modified>
</cp:coreProperties>
</file>